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highlight w:val="none"/>
        </w:rPr>
      </w:pPr>
      <w:bookmarkStart w:id="1" w:name="_GoBack"/>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托克逊县公共就业服务中心2024年单位预算公开</w:t>
      </w: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line="500" w:lineRule="exact"/>
        <w:jc w:val="center"/>
        <w:outlineLvl w:val="1"/>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widowControl/>
        <w:spacing w:line="600" w:lineRule="exact"/>
        <w:ind w:firstLine="883" w:firstLineChars="200"/>
        <w:outlineLvl w:val="1"/>
        <w:rPr>
          <w:rFonts w:ascii="宋体" w:hAnsi="宋体"/>
          <w:b/>
          <w:color w:val="auto"/>
          <w:kern w:val="0"/>
          <w:sz w:val="44"/>
          <w:szCs w:val="44"/>
          <w:highlight w:val="none"/>
        </w:rPr>
      </w:pP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一、关于托克逊县公共就业服务中心单位2024年收支预算情况的总体说明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二、关于托克逊县公共就业服务中心单位2024年收入预算情况说明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三、关于托克逊县公共就业服务中心单位2024年支出预算情况说明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四、关于托克逊县公共就业服务中心单位2024年财政拨款收支预算情况的总体说明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五、关于托克逊县公共就业服务中心单位2024年一般公共预算当年拨款情况说明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六、关于托克逊县公共就业服务中心单位2024年一般公共预算基本支出情况说明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七、关于托克逊县公共就业服务中心单位2024年一般公共预算项目支出情况说明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八、关于托克逊县公共就业服务中心单位2024年政府性基金预算拨款情况说明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九、关于托克逊县公共就业服务中心单位2024年国有资本经营预算拨款情况说明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十、关于托克逊县公共就业服务中心单位2024年财政拨款“三公”经费预算情况说明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十一、关于托克逊县公共就业服务中心单位2024年上年结转结余预算情况说明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第四部分名词解释</w:t>
      </w:r>
    </w:p>
    <w:p>
      <w:pPr>
        <w:widowControl/>
        <w:jc w:val="center"/>
        <w:outlineLvl w:val="1"/>
        <w:rPr>
          <w:rFonts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第一部分2024年单位概况</w:t>
      </w:r>
    </w:p>
    <w:p>
      <w:pPr>
        <w:widowControl/>
        <w:jc w:val="center"/>
        <w:outlineLvl w:val="1"/>
        <w:rPr>
          <w:rFonts w:ascii="宋体" w:hAnsi="宋体"/>
          <w:b/>
          <w:color w:val="auto"/>
          <w:kern w:val="0"/>
          <w:sz w:val="32"/>
          <w:szCs w:val="32"/>
          <w:highlight w:val="none"/>
        </w:rPr>
      </w:pPr>
    </w:p>
    <w:p>
      <w:pPr>
        <w:widowControl/>
        <w:spacing w:line="560" w:lineRule="exact"/>
        <w:jc w:val="left"/>
        <w:rPr>
          <w:rFonts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(一)负责宣传、贯彻落实国家、自治区及市、县关于统筹城乡就业创业的法律、法规及各项就业优惠政策。</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(三)贯彻执行国家、自治区及市、县创业促就业扶持政策，负责落实创业促进就业工作措施;组织开展创业指导创业培训和跟踪服务;负责办理小额创业担保贷款工作。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(四)负责高校毕业生的实名制登记、求职登记、职业介绍、跟踪服务、了解其接受就业服务、享受就业政策情况，及时在新疆公共就业服务网进行更新、并按要求报送就业情况。</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(五)负责落实县城乡职业技能培训和鉴定工作。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(六)负责“三支一扶”计划，实施管理服务，做好各类公益性岗位管理服务及工资审核发放等工作。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(七)负责流动人员档案管理。</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(八)承办上级部门交办的其他工作。</w:t>
      </w:r>
    </w:p>
    <w:p>
      <w:pPr>
        <w:widowControl/>
        <w:spacing w:line="560" w:lineRule="exact"/>
        <w:jc w:val="left"/>
        <w:rPr>
          <w:rFonts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托克逊县公共就业服务中心单位无下属预算单位，下设3个处室，分别是：办公室、就业创业服务科(就业创业培训科)、就业创业管理科(人力资源服务中心、中小微企业就业创业园)</w:t>
      </w:r>
      <w:r>
        <w:rPr>
          <w:rFonts w:hint="eastAsia" w:ascii="仿宋_GB2312" w:hAnsi="宋体" w:eastAsia="仿宋_GB2312" w:cs="宋体"/>
          <w:color w:val="auto"/>
          <w:kern w:val="0"/>
          <w:sz w:val="32"/>
          <w:szCs w:val="32"/>
          <w:highlight w:val="none"/>
        </w:rPr>
        <w:t>。</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托克逊县公共就业服务中心单位编制数4，实有人数6人，其中：在职5人，增加1人；退休1人，增加0人；离休0人，增加0人。</w:t>
      </w:r>
    </w:p>
    <w:p>
      <w:pPr>
        <w:widowControl/>
        <w:spacing w:before="156" w:beforeLines="50"/>
        <w:jc w:val="center"/>
        <w:outlineLvl w:val="1"/>
        <w:rPr>
          <w:rFonts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第二部分2024年单位预算公开表</w:t>
      </w:r>
    </w:p>
    <w:p>
      <w:pPr>
        <w:widowControl/>
        <w:spacing w:before="156" w:beforeLines="50"/>
        <w:outlineLvl w:val="1"/>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693.84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614.34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522.34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92.00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693.93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7.75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79.50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79.50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24.45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24.45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24.45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718.29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718.29</w:t>
            </w:r>
          </w:p>
        </w:tc>
      </w:tr>
    </w:tbl>
    <w:p>
      <w:pPr>
        <w:widowControl/>
        <w:jc w:val="left"/>
        <w:outlineLvl w:val="1"/>
        <w:rPr>
          <w:rFonts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693.93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589.98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497.98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79.50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24.45</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人力资源和社会保障管理事务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673.00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569.05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479.05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79.50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24.45</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公共就业服务和职业技能鉴定机构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257.55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178.05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178.05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79.50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其他人力资源和社会保障管理事务支出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415.45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391.00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301.00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24.45</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18.93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18.93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18.93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0.68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0.68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0.68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18.25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18.25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18.25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就业补助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其他就业补助支出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普惠金融发展支出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创业担保贷款贴息及奖补</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14.61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14.61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14.61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14.61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14.61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14.61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718.29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614.34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522.34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92.00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79.50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24.45</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bl>
    <w:p>
      <w:pPr>
        <w:widowControl/>
        <w:jc w:val="left"/>
        <w:outlineLvl w:val="1"/>
        <w:rPr>
          <w:rFonts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编制单位：托克逊县公共就业服务中心</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693.93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196.98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496.95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人力资源和社会保障管理事务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673.00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178.05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494.95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公共就业服务和职业技能鉴定机构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257.55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178.05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79.50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其他人力资源和社会保障管理事务支出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415.45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415.45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18.93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18.93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0.68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0.68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18.25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18.25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就业补助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其他就业补助支出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普惠金融发展支出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创业担保贷款贴息及奖补</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14.61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14.61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14.61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14.61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14.61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14.61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718.29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219.34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498.95</w:t>
            </w:r>
          </w:p>
        </w:tc>
      </w:tr>
    </w:tbl>
    <w:p>
      <w:pPr>
        <w:widowControl/>
        <w:spacing w:before="120" w:beforeLines="50"/>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pPr>
        <w:widowControl/>
        <w:spacing w:before="120" w:beforeLines="50"/>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614.34</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614.34</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589.98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589.98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7.75</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7.75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14.61</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14.61</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614.34</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614.34</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614.34</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pPr>
        <w:widowControl/>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589.98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196.98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393.00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人力资源和社会保障管理事务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569.05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178.05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391.00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公共就业服务和职业技能鉴定机构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178.05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178.05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其他人力资源和社会保障管理事务支出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391.00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391.00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18.93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18.93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18.25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18.25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就业补助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其他就业补助支出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普惠金融发展支出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创业担保贷款贴息及奖补</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14.61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14.61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14.61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14.61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614.34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219.34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395.00</w:t>
            </w:r>
          </w:p>
        </w:tc>
      </w:tr>
    </w:tbl>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210.13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210.13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25.00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10.30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10.30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15.46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15.46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12.52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12.52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18.25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18.25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7.75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7.75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105.44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105.44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8.53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8.53</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2.02</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2.21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2.21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0.68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0.68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219.34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210.81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8.53</w:t>
            </w:r>
          </w:p>
        </w:tc>
      </w:tr>
    </w:tbl>
    <w:p>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pPr>
        <w:jc w:val="center"/>
        <w:rPr>
          <w:rFonts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pPr>
              <w:jc w:val="center"/>
              <w:rPr>
                <w:color w:val="auto"/>
                <w:sz w:val="20"/>
                <w:szCs w:val="20"/>
                <w:highlight w:val="none"/>
              </w:rPr>
            </w:pPr>
          </w:p>
        </w:tc>
        <w:tc>
          <w:tcPr>
            <w:tcW w:w="2170" w:type="dxa"/>
            <w:vMerge w:val="continue"/>
            <w:shd w:val="clear" w:color="auto" w:fill="auto"/>
            <w:vAlign w:val="center"/>
          </w:tcPr>
          <w:p>
            <w:pPr>
              <w:jc w:val="center"/>
              <w:rPr>
                <w:color w:val="auto"/>
                <w:sz w:val="20"/>
                <w:szCs w:val="20"/>
                <w:highlight w:val="none"/>
              </w:rPr>
            </w:pPr>
          </w:p>
        </w:tc>
        <w:tc>
          <w:tcPr>
            <w:tcW w:w="950" w:type="dxa"/>
            <w:vMerge w:val="continue"/>
            <w:shd w:val="clear" w:color="auto" w:fill="auto"/>
            <w:vAlign w:val="center"/>
          </w:tcPr>
          <w:p>
            <w:pPr>
              <w:jc w:val="center"/>
              <w:rPr>
                <w:color w:val="auto"/>
                <w:sz w:val="20"/>
                <w:szCs w:val="20"/>
                <w:highlight w:val="none"/>
              </w:rPr>
            </w:pPr>
          </w:p>
        </w:tc>
        <w:tc>
          <w:tcPr>
            <w:tcW w:w="720" w:type="dxa"/>
            <w:vMerge w:val="continue"/>
            <w:shd w:val="clear" w:color="auto" w:fill="auto"/>
            <w:vAlign w:val="center"/>
          </w:tcPr>
          <w:p>
            <w:pPr>
              <w:jc w:val="center"/>
              <w:rPr>
                <w:color w:val="auto"/>
                <w:sz w:val="20"/>
                <w:szCs w:val="20"/>
                <w:highlight w:val="none"/>
              </w:rPr>
            </w:pPr>
          </w:p>
        </w:tc>
        <w:tc>
          <w:tcPr>
            <w:tcW w:w="820" w:type="dxa"/>
            <w:vMerge w:val="continue"/>
            <w:shd w:val="clear" w:color="auto" w:fill="auto"/>
            <w:vAlign w:val="center"/>
          </w:tcPr>
          <w:p>
            <w:pPr>
              <w:jc w:val="center"/>
              <w:rPr>
                <w:color w:val="auto"/>
                <w:sz w:val="20"/>
                <w:szCs w:val="20"/>
                <w:highlight w:val="none"/>
              </w:rPr>
            </w:pPr>
          </w:p>
        </w:tc>
        <w:tc>
          <w:tcPr>
            <w:tcW w:w="670" w:type="dxa"/>
            <w:vMerge w:val="continue"/>
            <w:shd w:val="clear" w:color="auto" w:fill="auto"/>
            <w:vAlign w:val="center"/>
          </w:tcPr>
          <w:p>
            <w:pPr>
              <w:jc w:val="center"/>
              <w:rPr>
                <w:color w:val="auto"/>
                <w:sz w:val="20"/>
                <w:szCs w:val="20"/>
                <w:highlight w:val="none"/>
              </w:rPr>
            </w:pPr>
          </w:p>
        </w:tc>
        <w:tc>
          <w:tcPr>
            <w:tcW w:w="710" w:type="dxa"/>
            <w:vMerge w:val="continue"/>
            <w:shd w:val="clear" w:color="auto" w:fill="auto"/>
            <w:vAlign w:val="center"/>
          </w:tcPr>
          <w:p>
            <w:pPr>
              <w:jc w:val="center"/>
              <w:rPr>
                <w:color w:val="auto"/>
                <w:sz w:val="20"/>
                <w:szCs w:val="20"/>
                <w:highlight w:val="none"/>
              </w:rPr>
            </w:pPr>
          </w:p>
        </w:tc>
        <w:tc>
          <w:tcPr>
            <w:tcW w:w="700" w:type="dxa"/>
            <w:vMerge w:val="continue"/>
            <w:shd w:val="clear" w:color="auto" w:fill="auto"/>
            <w:vAlign w:val="center"/>
          </w:tcPr>
          <w:p>
            <w:pPr>
              <w:jc w:val="center"/>
              <w:rPr>
                <w:color w:val="auto"/>
                <w:sz w:val="20"/>
                <w:szCs w:val="20"/>
                <w:highlight w:val="none"/>
              </w:rPr>
            </w:pPr>
          </w:p>
        </w:tc>
        <w:tc>
          <w:tcPr>
            <w:tcW w:w="710" w:type="dxa"/>
            <w:vMerge w:val="continue"/>
            <w:shd w:val="clear" w:color="auto" w:fill="auto"/>
            <w:vAlign w:val="center"/>
          </w:tcPr>
          <w:p>
            <w:pPr>
              <w:jc w:val="center"/>
              <w:rPr>
                <w:color w:val="auto"/>
                <w:sz w:val="20"/>
                <w:szCs w:val="20"/>
                <w:highlight w:val="none"/>
              </w:rPr>
            </w:pPr>
          </w:p>
        </w:tc>
        <w:tc>
          <w:tcPr>
            <w:tcW w:w="790" w:type="dxa"/>
            <w:vMerge w:val="continue"/>
            <w:shd w:val="clear" w:color="auto" w:fill="auto"/>
          </w:tcPr>
          <w:p>
            <w:pPr>
              <w:jc w:val="center"/>
              <w:rPr>
                <w:color w:val="auto"/>
                <w:sz w:val="20"/>
                <w:szCs w:val="20"/>
                <w:highlight w:val="none"/>
              </w:rPr>
            </w:pPr>
          </w:p>
        </w:tc>
        <w:tc>
          <w:tcPr>
            <w:tcW w:w="640" w:type="dxa"/>
            <w:vMerge w:val="continue"/>
            <w:shd w:val="clear" w:color="auto" w:fill="auto"/>
            <w:vAlign w:val="center"/>
          </w:tcPr>
          <w:p>
            <w:pPr>
              <w:jc w:val="center"/>
              <w:rPr>
                <w:color w:val="auto"/>
                <w:sz w:val="20"/>
                <w:szCs w:val="20"/>
                <w:highlight w:val="none"/>
              </w:rPr>
            </w:pPr>
          </w:p>
        </w:tc>
        <w:tc>
          <w:tcPr>
            <w:tcW w:w="700" w:type="dxa"/>
            <w:vMerge w:val="continue"/>
            <w:shd w:val="clear" w:color="auto" w:fill="auto"/>
          </w:tcPr>
          <w:p>
            <w:pPr>
              <w:jc w:val="center"/>
              <w:rPr>
                <w:color w:val="auto"/>
                <w:sz w:val="20"/>
                <w:szCs w:val="20"/>
                <w:highlight w:val="none"/>
              </w:rPr>
            </w:pPr>
          </w:p>
        </w:tc>
        <w:tc>
          <w:tcPr>
            <w:tcW w:w="620" w:type="dxa"/>
            <w:vMerge w:val="continue"/>
            <w:shd w:val="clear" w:color="auto" w:fill="auto"/>
          </w:tcPr>
          <w:p>
            <w:pPr>
              <w:jc w:val="center"/>
              <w:rPr>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393.00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296.70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90.00</w:t>
            </w: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6.30</w:t>
            </w: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人力资源和社会保障管理事务</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391.00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294.70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90.00</w:t>
            </w: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6.30</w:t>
            </w: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2024年中小微企业就业创业园区综合业务经费</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293.70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6.30</w:t>
            </w: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2024年“三支一扶”工作经费</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吐市财社[2023]108号，2024年高校毕业生“三支一扶”计划中央财政补助资金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p>
        </w:tc>
        <w:tc>
          <w:tcPr>
            <w:tcW w:w="67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07</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就业补助</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208</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其他就业补助支出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吐市财社[2023]105号，2024年自治区财政就业补助资金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08</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普惠金融发展支出</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创业担保贷款贴息及奖补</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2024年创业担保贷款贴息资金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p>
        </w:tc>
        <w:tc>
          <w:tcPr>
            <w:tcW w:w="2170"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395.00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296.70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90.00</w:t>
            </w: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6.30</w:t>
            </w: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bl>
    <w:p>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备注：托克逊县公共就业服务中心2024年没有使用政府性基金预算拨款安排的支出，政府性基金预算支出情况表为空表。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备注：托克逊县公共就业服务中心2024年没有使用国有资本经营预算拨款安排的支出，国有资本经营预算支出情况表为空表。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pPr>
        <w:widowControl/>
        <w:jc w:val="left"/>
        <w:outlineLvl w:val="1"/>
        <w:rPr>
          <w:rFonts w:ascii="仿宋_GB2312" w:hAnsi="宋体" w:eastAsia="仿宋_GB2312"/>
          <w:b/>
          <w:color w:val="auto"/>
          <w:kern w:val="0"/>
          <w:sz w:val="32"/>
          <w:szCs w:val="32"/>
          <w:highlight w:val="none"/>
        </w:rPr>
      </w:pP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pPr>
        <w:widowControl/>
        <w:jc w:val="center"/>
        <w:outlineLvl w:val="1"/>
        <w:rPr>
          <w:rFonts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2.00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2.00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2.00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2.00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2.00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2.00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bl>
    <w:p>
      <w:pPr>
        <w:widowControl/>
        <w:jc w:val="left"/>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pPr>
        <w:widowControl/>
        <w:jc w:val="left"/>
        <w:outlineLvl w:val="1"/>
        <w:rPr>
          <w:rFonts w:ascii="仿宋_GB2312" w:hAnsi="宋体" w:eastAsia="仿宋_GB2312"/>
          <w:b/>
          <w:color w:val="auto"/>
          <w:kern w:val="0"/>
          <w:sz w:val="32"/>
          <w:szCs w:val="32"/>
          <w:highlight w:val="none"/>
        </w:rPr>
      </w:pP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pPr>
        <w:widowControl/>
        <w:jc w:val="center"/>
        <w:outlineLvl w:val="1"/>
        <w:rPr>
          <w:rFonts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编制单位：托克逊县公共就业服务中心</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24.45</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24.45</w:t>
            </w: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24.45</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2022年高校毕业生“三支一扶”计划中央财政补助资金</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24.45</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24.45</w:t>
            </w: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24.45</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jc w:val="left"/>
        <w:outlineLvl w:val="1"/>
        <w:rPr>
          <w:rFonts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第三部分2024年单位预算情况说明</w:t>
      </w:r>
    </w:p>
    <w:p>
      <w:pPr>
        <w:spacing w:line="560" w:lineRule="exact"/>
        <w:jc w:val="center"/>
        <w:rPr>
          <w:rFonts w:ascii="楷体_GB2312" w:hAnsi="楷体_GB2312" w:eastAsia="楷体_GB2312"/>
          <w:color w:val="auto"/>
          <w:kern w:val="0"/>
          <w:sz w:val="32"/>
          <w:szCs w:val="32"/>
          <w:highlight w:val="none"/>
        </w:rPr>
      </w:pP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关于托克逊县公共就业服务中心单位2024年收支预算情况的总体说明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按照全口径预算的原则，托克逊县公共就业服务中心单位2024年所有收入和支出均纳入单位预算管理。收支总预算718.29万元。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二、关于托克逊县公共就业服务中心单位2024年收入预算情况说明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托克逊县公共就业服务中心单位收入预算718.29万元，其中：</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一般公共预算522.34万元，占72.72%，比上年预算减少89.76万元，下降14.66%，主要原因是2024年托克逊县中小微企业就业创业园综合业务经费</w:t>
      </w:r>
      <w:r>
        <w:rPr>
          <w:rFonts w:hint="eastAsia" w:ascii="仿宋_GB2312" w:hAnsi="宋体" w:eastAsia="仿宋_GB2312" w:cs="宋体"/>
          <w:color w:val="auto"/>
          <w:kern w:val="0"/>
          <w:sz w:val="32"/>
          <w:szCs w:val="32"/>
          <w:highlight w:val="none"/>
          <w:lang w:val="en-US" w:eastAsia="zh-CN"/>
        </w:rPr>
        <w:t>资金减少</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上级一般公共预算安排的转移支付92.00万元，占12.81%，比上年预算增加15.25万元，增长19.87%，主要原因是增加高校毕业生“三支一扶”人员生活补助，</w:t>
      </w:r>
      <w:r>
        <w:rPr>
          <w:rFonts w:hint="eastAsia" w:ascii="仿宋_GB2312" w:hAnsi="宋体" w:eastAsia="仿宋_GB2312" w:cs="宋体"/>
          <w:color w:val="auto"/>
          <w:kern w:val="0"/>
          <w:sz w:val="32"/>
          <w:szCs w:val="32"/>
          <w:highlight w:val="none"/>
          <w:lang w:val="en-US" w:eastAsia="zh-CN"/>
        </w:rPr>
        <w:t>及2024年自治区财政就业补助资金项目</w:t>
      </w:r>
      <w:r>
        <w:rPr>
          <w:rFonts w:hint="eastAsia" w:ascii="仿宋_GB2312" w:hAnsi="宋体" w:eastAsia="仿宋_GB2312" w:cs="宋体"/>
          <w:color w:val="auto"/>
          <w:kern w:val="0"/>
          <w:sz w:val="32"/>
          <w:szCs w:val="32"/>
          <w:highlight w:val="none"/>
        </w:rPr>
        <w:t>本年预算同比上年增加</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单位资金79.50万元，占11.07%，比上年预算增加38.67万元，增长94.71%，主要原因是2024年增加富余劳动力赴湘转移就业项目工作经费，单位资金本年预算较上年增加</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财政拨款结转24.45万元，占3.40%，比上年预算减少25.45万元，下降51.00%，主要原因是2022年高校毕业生“三支一扶”计划中央财政补助资金</w:t>
      </w:r>
      <w:r>
        <w:rPr>
          <w:rFonts w:hint="eastAsia" w:ascii="仿宋_GB2312" w:hAnsi="宋体" w:eastAsia="仿宋_GB2312" w:cs="宋体"/>
          <w:color w:val="auto"/>
          <w:kern w:val="0"/>
          <w:sz w:val="32"/>
          <w:szCs w:val="32"/>
          <w:highlight w:val="none"/>
          <w:lang w:val="en-US" w:eastAsia="zh-CN"/>
        </w:rPr>
        <w:t>相比上年结转经费减少</w:t>
      </w:r>
      <w:r>
        <w:rPr>
          <w:rFonts w:hint="eastAsia" w:ascii="仿宋_GB2312" w:hAnsi="宋体" w:eastAsia="仿宋_GB2312" w:cs="宋体"/>
          <w:color w:val="auto"/>
          <w:kern w:val="0"/>
          <w:sz w:val="32"/>
          <w:szCs w:val="32"/>
          <w:highlight w:val="none"/>
          <w:lang w:eastAsia="zh-CN"/>
        </w:rPr>
        <w:t>。</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三、关于托克逊县公共就业服务中心单位2024年支出预算情况说明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托克逊县公共就业服务中心单位2024年支出预算718.29万元，其中：</w:t>
      </w:r>
    </w:p>
    <w:p>
      <w:pPr>
        <w:spacing w:line="56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基本支出219.34万元，占30.54%，比上年预算增加9.24万元，增长4.40%，主要原因是本年较上年事业编人员增加1人，人员类支出增加，因此基本支出预算较上年增加。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项目支出498.95万元，占69.46%，比上年预算减少70.53万元，下降12.38%，主要原因是根据工作实际需要，减少托克逊县中小微企业就业创业园综合业务经费项目，因此项目支出比上年预算减少。</w:t>
      </w:r>
    </w:p>
    <w:p>
      <w:pPr>
        <w:spacing w:line="56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四、关于托克逊县公共就业服务中心单位2024年财政拨款收支预算情况的总体说明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2024年财政拨款收支总预算614.34万元。</w:t>
      </w:r>
    </w:p>
    <w:p>
      <w:pPr>
        <w:spacing w:line="560" w:lineRule="exact"/>
        <w:ind w:firstLine="616" w:firstLineChars="200"/>
        <w:rPr>
          <w:rFonts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收入预算包括：一般公共预算拨款614.34万元。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589.98万元，主要用于保障单位正常运行的人员经费、公用经费支出及单位人员社保缴费支出;卫生健康支出7.75万元，主要用于单位人员医疗保险缴费支出;农林水支出2.00万元，主要用于保障单位正常运行的人员经费、公用经费支出;住房保障支出14.61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五、关于托克逊县公共就业服务中心单位2024年一般公共预算当年拨款情况说明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托克逊县公共就业服务中心单位2024年一般公共预算拨款合计614.34万元，其中：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基本支出219.34万元，比上年预算增加9.24万元，增长4.40%。主要原因是：本年较上年事业编人员增加1人，人员类支出增加，因此基本支出预算较上年增加。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项目支出395.00万元，比上年预算减少83.75万元，下降17.49%。主要原因是：</w:t>
      </w:r>
      <w:r>
        <w:rPr>
          <w:rFonts w:hint="eastAsia" w:ascii="仿宋_GB2312" w:hAnsi="宋体" w:eastAsia="仿宋_GB2312" w:cs="宋体"/>
          <w:color w:val="auto"/>
          <w:kern w:val="0"/>
          <w:sz w:val="32"/>
          <w:szCs w:val="32"/>
          <w:highlight w:val="none"/>
        </w:rPr>
        <w:t>根据工作实际需要，减少托克逊县中小微企业就业创业园综合业务经费项目，</w:t>
      </w:r>
      <w:r>
        <w:rPr>
          <w:rFonts w:hint="eastAsia" w:ascii="仿宋_GB2312" w:eastAsia="仿宋_GB2312"/>
          <w:color w:val="auto"/>
          <w:sz w:val="32"/>
          <w:szCs w:val="32"/>
          <w:highlight w:val="none"/>
        </w:rPr>
        <w:t>因此项目支出比上年预算减少。</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1.社会保障和就业支出（类）589.98万元，占96.03%。</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2.卫生健康支出（类）7.75万元，占1.26%。</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3.农林水支出（类）2.00万元，占0.33%。</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4.住房保障支出（类）14.61万元，占2.38%。</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保障和就业支出（类）人力资源和社会保障管理事务（款）公共就业服务和职业技能鉴定机构（项）：2024年预算数为178.05万元，比上年预算增加11.94万元，增长7.19%，主要原因是：本年较上年事业编人员增加1人，人员类支出增加，因此基本支出预算较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社会保障和就业支出（类）人力资源和社会保障管理事务（款）其他人力资源和社会保障管理事务支出（项）：2024年预算数为391.00万元，比上年预算减少85.75万元，下降17.99%，主要原因是：本年根据工作实际需要，减少2024年中小微企业就业创业园区综合业务经费，因此预算较上年减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社会保障和就业支出（类）行政事业单位养老支出（款）事业单位离退休（项）：2024年预算数为0.68万元，比上年预算增加0.04万元，增长6.25%，主要原因是：本年退休人员全年绩效奖上调，导致预算较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4.社会保障和就业支出（类）行政事业单位养老支出（款）机关事业单位基本养老保险缴费支出（项）：2024年预算数为18.25万元，比上年预算增加2.29万元，增长14.35%，主要原因是：本年工资调增，</w:t>
      </w:r>
      <w:r>
        <w:rPr>
          <w:rFonts w:hint="eastAsia" w:ascii="仿宋_GB2312" w:hAnsi="宋体" w:eastAsia="仿宋_GB2312" w:cs="宋体"/>
          <w:color w:val="auto"/>
          <w:kern w:val="0"/>
          <w:sz w:val="32"/>
          <w:szCs w:val="32"/>
          <w:highlight w:val="none"/>
          <w:lang w:val="en-US" w:eastAsia="zh-CN"/>
        </w:rPr>
        <w:t>养老保险</w:t>
      </w:r>
      <w:r>
        <w:rPr>
          <w:rFonts w:hint="eastAsia" w:ascii="仿宋_GB2312" w:hAnsi="宋体" w:eastAsia="仿宋_GB2312" w:cs="宋体"/>
          <w:color w:val="auto"/>
          <w:kern w:val="0"/>
          <w:sz w:val="32"/>
          <w:szCs w:val="32"/>
          <w:highlight w:val="none"/>
        </w:rPr>
        <w:t>基数上调，导致机关事业单位基本养老保险缴费支出预算比上年增加。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5.社会保障和就业支出（类）就业补助（款）其他就业补助支出（项）：2024年预算数为2.00万元，比上年预算增加2.00万元，增长100.00%，主要原因是：本年新增2024年自治区财政就业补助资金。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6.卫生健康支出（类）行政事业单位医疗（款）事业单位医疗（项）：2024年预算数为7.75万元，比上年预算增加0.97万元，增长14.31%，主要原因是：本年工资调增，医疗基数上调，导致事业单位医疗比上年增加。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7.农林水支出（类）普惠金融发展支出（款）创业担保贷款贴息及奖补（项）：2024年预算数为2.00万元，比上年预算增加0.00万元，增长0.00%，主要原因是：本年创业担保贷款贴息及奖补较上年预算相比无变动。</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8.住房保障支出（类）住房改革支出（款）住房公积金（项）：2024年预算数为14.61万元，比上年预算增加1.98万元，增长15.68%，主要原因是：本年工资调增，公积金基数上调，导致该款项支出比上年增加。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社会保障和就业支出（类）行政事业单位养老支出（款）机关事业单位职业年金缴费支出（项）：2024年预算数为0.00万元，比上年预算减少7.98万元，下降100.00%，主要原因是：本年度职业年金预算由政府（财政）预算代列，未直接体现在部门预算里，导致本单位该项预算减少。</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六、关于托克逊县公共就业服务中心单位2024年一般公共预算基本支出情况说明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托克逊县公共就业服务中心单位2024年一般公共预算基本支出219.34万元，其中：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人员经费210.81万元，主要包括：基本工资、津贴补贴、奖金、绩效工资、机关事业单位基本养老保险缴费、职工基本医疗保险缴费、其他社会保障缴费、住房公积金、其他工资福利支出、退休费。</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公用经费8.53万元，主要包括：办公费、邮电费、差旅费、工会经费、公务用车运行维护费、其他商品和服务支出。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七、关于托克逊县公共就业服务中心单位2024年一般公共预算项目支出情况说明</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（一）项目名称：2024年中小微企业就业创业园区综合业务经费</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中小微企业是我国经济社会发展的重要力量，在促进就业和推动经济增长方面发挥重要作用。为了支持中小微企业发展，各级政府出台了一系列扶持政策，中小微企业就业创业园是一个集中展示、孵化、培训、融资、服务于一体的创业园基地，因此，中小微企业就业创业园业务经费项目的背景是为了解决园区运营过程中的资金问题，保障园区的正常运营和服务，为中小微企业发展提供更加稳定的支持和帮助。</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项目承担单位：托克逊县公共就业服务中心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资金分配情况：食堂食材采购费用140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万元，创业园管理维护支出62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万元，园区污水处理支出58</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万元，新装及维修监控设备支出40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（二）项目名称：2024年“三支一扶”工作经费</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根据《中共中央组织部人力资源社会保障部等十部门关于实施第四轮高校毕业生“三支一扶”计划的通知》人社部发[2021]33号、《财政部人力资源和社会保障部关于印发《高校毕业生“三支一扶”计划中央补助资金管理办法》的通知》</w:t>
      </w:r>
      <w:r>
        <w:rPr>
          <w:rFonts w:ascii="仿宋_GB2312" w:hAnsi="黑体" w:eastAsia="仿宋_GB2312"/>
          <w:color w:val="auto"/>
          <w:sz w:val="32"/>
          <w:szCs w:val="32"/>
          <w:highlight w:val="none"/>
        </w:rPr>
        <w:t>财社[2021]96号</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项目承担单位：托克逊县公共就业服务中心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资金分配情况：为三支一扶人员购买意外保险0.3</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万元，支付新招募三支一扶人员体检费0.6</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万元，节日慰问三支一扶人员维稳费0.1</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（三）项目名称：吐市财社[2023]108号，2024年高校毕业生“三支一扶”计划中央财政补助资金</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根据《中共中央组织部人力资源社会保障部等十部门关于实施第四轮高校毕业生“三支一扶”计划的通知》人社部发[2021]33号、《财政部人力资源和社会保障部关于印发《高校毕业生“三支一扶”计划中央补助资金管理办法》的通知》</w:t>
      </w:r>
      <w:r>
        <w:rPr>
          <w:rFonts w:ascii="仿宋_GB2312" w:hAnsi="黑体" w:eastAsia="仿宋_GB2312"/>
          <w:color w:val="auto"/>
          <w:sz w:val="32"/>
          <w:szCs w:val="32"/>
          <w:highlight w:val="none"/>
        </w:rPr>
        <w:t>财社[2021]</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预算安排规模：90.00万元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项目承担单位：托克逊县公共就业服务中心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资金分配情况：发放高校毕业生三支一扶人员生活生活补助858000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元。发放三支一扶人员安家费42000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（四）项目名称：吐市财社[2023]105号，2024年自治区财政就业补助资金</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设立的政策依据：根据《关于2023年公共就业服务专项资金拨付地州情况等函》及《关于提前下达2024年自治区就业补助资金预算的通知》</w:t>
      </w:r>
      <w:r>
        <w:rPr>
          <w:rFonts w:ascii="仿宋_GB2312" w:hAnsi="黑体" w:eastAsia="仿宋_GB2312"/>
          <w:color w:val="auto"/>
          <w:sz w:val="32"/>
          <w:szCs w:val="32"/>
          <w:highlight w:val="none"/>
        </w:rPr>
        <w:t>托财社[2024]20号</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项目承担单位：托克逊县公共就业服务中心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万元用于支付招聘会各项支出。制作招聘会宣传材料支出0.7</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万元，招聘会租车费支出0.8</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万元，招聘会用水及办公费支出0.5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（五）项目名称：2024年创业担保贷款贴息资金</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根据新疆维吾尔自治区人社厅、财政厅、中国人民银行乌鲁木齐中心支行《关于印发〈自治区创业担保贷款实施办法〉的通知》（新人社发[2017]64号）、新疆维吾尔自治区财政厅《关于印发〈新疆维吾尔自治区普惠金融发展专项资金管理暂行办法〉的通知》（新财金[2017]50号）和《关于进一步做好创业担保贷款工作的通知》（新人社函[2019]164号）文件精神、新疆维吾尔自治区财政厅《关于印发〈新疆维吾尔自治区普惠金融发展专项资金管理暂行办法〉的通知》</w:t>
      </w:r>
      <w:r>
        <w:rPr>
          <w:rFonts w:ascii="仿宋_GB2312" w:hAnsi="黑体" w:eastAsia="仿宋_GB2312"/>
          <w:color w:val="auto"/>
          <w:sz w:val="32"/>
          <w:szCs w:val="32"/>
          <w:highlight w:val="none"/>
        </w:rPr>
        <w:t>（新财金[2023]75号）</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预算安排规模：2.00万元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项目承担单位：托克逊县公共就业服务中心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资金分配情况：发放个体工商户创业担保贷款贴息1.73万元，发放小微企业贷款贴息0.27万元。</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八、关于托克逊县公共就业服务中心单位2024年政府性基金预算拨款情况说明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九、关于托克逊县公共就业服务中心单位2024年国有资本经营预算拨款情况说明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十、关于托克逊县公共就业服务中心单位2024年财政拨款“三公”经费预算情况说明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托克逊县公共就业服务中心单位2024年财政拨款“三公”经费数为2.00万元，其中：因公出国（境）费0.00万元，公务用车购置费0.00万元，公务用车运行费2.00万元，公务接待费0.00万元。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公务用车运行费调标，标准由原先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万元每车每年调整到2</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万元每车每年，因此同比上年增加；公务接待费减少0.00万元，下降0.00%，主要原因是2023年与2024年均未安排公务接待费。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十一、关于托克逊县公共就业服务中心单位2024年上年结转结余预算情况说明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托克逊县公共就业服务中心单位2024年上年结转结余24.45万元，包括：财政拨款24.45万元，非财政拨款0.00万元，其中：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1、2022年高校毕业生“三支一扶”计划中央财政补助资金24.45万元，主要用于：高校毕业生三支一扶人员生活补助及一次性安家费。</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托克逊县公共就业服务中心单位2024年的事业单位运行经费财政拨款预算8.53万元，比上年预算增加0.74万元，增长9.50%。主要原因是本年事业编人员增加1人，因此事业单位运行经费增加。</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2024年，托克逊县公共就业服务中心单位政府采购预算18.67万元，其中：政府采购货物预算18.67万元，政府采购工程预算0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2024年，托克逊县公共就业服务中心单位面向中小企业预留政府采购项目预算金额17.67万元，小微企业预留政府采购项目预算金额17.67万元。</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截至2023年底，托克逊县公共就业服务中心单位及下属各预算单位占用使用国有资产总体情况为：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1.房屋0平方米，价值0万元。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3.办公家具价值36.38万元。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2024年，本单位预算绩效管理整体预算绩效目标1个，涉及金额718.31万元；当年财政拨款项目5个，涉及预算金额395.00万元；当年非财政拨款项目1个，涉及预算金额</w:t>
      </w:r>
      <w:r>
        <w:rPr>
          <w:rFonts w:ascii="仿宋_GB2312" w:hAnsi="宋体" w:eastAsia="仿宋_GB2312" w:cs="宋体"/>
          <w:color w:val="auto"/>
          <w:kern w:val="0"/>
          <w:sz w:val="32"/>
          <w:szCs w:val="32"/>
          <w:highlight w:val="none"/>
        </w:rPr>
        <w:t>79.50</w:t>
      </w:r>
      <w:r>
        <w:rPr>
          <w:rFonts w:hint="eastAsia" w:ascii="仿宋_GB2312" w:hAnsi="宋体" w:eastAsia="仿宋_GB2312" w:cs="宋体"/>
          <w:color w:val="auto"/>
          <w:kern w:val="0"/>
          <w:sz w:val="32"/>
          <w:szCs w:val="32"/>
          <w:highlight w:val="none"/>
        </w:rPr>
        <w:t>万元。具体情况见下表：</w:t>
      </w:r>
    </w:p>
    <w:p>
      <w:pPr>
        <w:widowControl/>
        <w:spacing w:line="600" w:lineRule="exact"/>
        <w:rPr>
          <w:rFonts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5"/>
        <w:tblW w:w="10535" w:type="dxa"/>
        <w:jc w:val="center"/>
        <w:tblLayout w:type="autofit"/>
        <w:tblCellMar>
          <w:top w:w="0" w:type="dxa"/>
          <w:left w:w="108" w:type="dxa"/>
          <w:bottom w:w="0" w:type="dxa"/>
          <w:right w:w="108" w:type="dxa"/>
        </w:tblCellMar>
      </w:tblPr>
      <w:tblGrid>
        <w:gridCol w:w="1181"/>
        <w:gridCol w:w="1498"/>
        <w:gridCol w:w="2794"/>
        <w:gridCol w:w="1445"/>
        <w:gridCol w:w="2228"/>
        <w:gridCol w:w="1389"/>
      </w:tblGrid>
      <w:tr>
        <w:tblPrEx>
          <w:tblCellMar>
            <w:top w:w="0" w:type="dxa"/>
            <w:left w:w="108" w:type="dxa"/>
            <w:bottom w:w="0" w:type="dxa"/>
            <w:right w:w="108" w:type="dxa"/>
          </w:tblCellMar>
        </w:tblPrEx>
        <w:trPr>
          <w:trHeight w:val="763" w:hRule="atLeast"/>
          <w:jc w:val="center"/>
        </w:trPr>
        <w:tc>
          <w:tcPr>
            <w:tcW w:w="10535"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40"/>
                <w:szCs w:val="40"/>
                <w:highlight w:val="none"/>
                <w:lang w:bidi="ar"/>
              </w:rPr>
              <w:t>单位整体绩效目标表</w:t>
            </w:r>
          </w:p>
        </w:tc>
      </w:tr>
      <w:tr>
        <w:tblPrEx>
          <w:tblCellMar>
            <w:top w:w="0" w:type="dxa"/>
            <w:left w:w="108" w:type="dxa"/>
            <w:bottom w:w="0" w:type="dxa"/>
            <w:right w:w="108" w:type="dxa"/>
          </w:tblCellMar>
        </w:tblPrEx>
        <w:trPr>
          <w:trHeight w:val="424" w:hRule="atLeast"/>
          <w:jc w:val="center"/>
        </w:trPr>
        <w:tc>
          <w:tcPr>
            <w:tcW w:w="10535"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color w:val="auto"/>
                <w:sz w:val="24"/>
                <w:highlight w:val="none"/>
              </w:rPr>
              <w:t>（2024年）</w:t>
            </w:r>
          </w:p>
        </w:tc>
      </w:tr>
      <w:tr>
        <w:tblPrEx>
          <w:tblCellMar>
            <w:top w:w="0" w:type="dxa"/>
            <w:left w:w="108" w:type="dxa"/>
            <w:bottom w:w="0" w:type="dxa"/>
            <w:right w:w="108" w:type="dxa"/>
          </w:tblCellMar>
        </w:tblPrEx>
        <w:trPr>
          <w:trHeight w:val="567" w:hRule="atLeast"/>
          <w:jc w:val="center"/>
        </w:trPr>
        <w:tc>
          <w:tcPr>
            <w:tcW w:w="26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85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托克逊县公共就业服务中心</w:t>
            </w:r>
          </w:p>
        </w:tc>
      </w:tr>
      <w:tr>
        <w:tblPrEx>
          <w:tblCellMar>
            <w:top w:w="0" w:type="dxa"/>
            <w:left w:w="108" w:type="dxa"/>
            <w:bottom w:w="0" w:type="dxa"/>
            <w:right w:w="108" w:type="dxa"/>
          </w:tblCellMar>
        </w:tblPrEx>
        <w:trPr>
          <w:trHeight w:val="567" w:hRule="atLeast"/>
          <w:jc w:val="center"/>
        </w:trPr>
        <w:tc>
          <w:tcPr>
            <w:tcW w:w="267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42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张利静</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联系电话：</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15299448622</w:t>
            </w:r>
          </w:p>
        </w:tc>
      </w:tr>
      <w:tr>
        <w:tblPrEx>
          <w:tblCellMar>
            <w:top w:w="0" w:type="dxa"/>
            <w:left w:w="108" w:type="dxa"/>
            <w:bottom w:w="0" w:type="dxa"/>
            <w:right w:w="108" w:type="dxa"/>
          </w:tblCellMar>
        </w:tblPrEx>
        <w:trPr>
          <w:trHeight w:val="3078" w:hRule="atLeast"/>
          <w:jc w:val="center"/>
        </w:trPr>
        <w:tc>
          <w:tcPr>
            <w:tcW w:w="26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856"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目标1：积极开展高校毕业生就业见习工作，开发就业见习岗位不少于150个。通过见习促就业。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组织开展2024年“三支一扶”招募工作，计划招募15人，按月及时发放“三支一扶”人员生活补助，解决我县高校毕业生就业难的问题，同时为基层乡村、社区注入新鲜血液，解决基层单位人员不足情况。目标3：灵活运用网络信息平台，微信公众号发布及转发招聘信息不少于100条，从而扩大就业政策宣传力度。目标4：组织开展24项公共就业服务活动，全年开展招聘活动（线上+线下）不少于112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目标5：实现2024届高校毕业生就业去向落实率达到95%以上，实名登记率达到100%;组织高校毕业生赴湘培训25人次，疆内培训30人次，稳步提升高校毕业生就业率。</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目标6：发放小额创业担保贷款13笔，通过推动创业带动就业持续发展。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目标7：每月对我县富余劳动摸排一次，计划2024年有序疆外外出务工达到100人次。</w:t>
            </w:r>
          </w:p>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目标8：做好流动人口档案管理服务标准化促就业，帮助高校毕业生和流动人员解决后顾之忧，安心就业。</w:t>
            </w:r>
          </w:p>
        </w:tc>
      </w:tr>
      <w:tr>
        <w:tblPrEx>
          <w:tblCellMar>
            <w:top w:w="0" w:type="dxa"/>
            <w:left w:w="108" w:type="dxa"/>
            <w:bottom w:w="0" w:type="dxa"/>
            <w:right w:w="108" w:type="dxa"/>
          </w:tblCellMar>
        </w:tblPrEx>
        <w:trPr>
          <w:trHeight w:val="533" w:hRule="atLeast"/>
          <w:jc w:val="center"/>
        </w:trPr>
        <w:tc>
          <w:tcPr>
            <w:tcW w:w="26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42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tblPrEx>
          <w:tblCellMar>
            <w:top w:w="0" w:type="dxa"/>
            <w:left w:w="108" w:type="dxa"/>
            <w:bottom w:w="0" w:type="dxa"/>
            <w:right w:w="108" w:type="dxa"/>
          </w:tblCellMar>
        </w:tblPrEx>
        <w:trPr>
          <w:trHeight w:val="389" w:hRule="atLeast"/>
          <w:jc w:val="center"/>
        </w:trPr>
        <w:tc>
          <w:tcPr>
            <w:tcW w:w="26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0"/>
                <w:szCs w:val="20"/>
                <w:highlight w:val="none"/>
              </w:rPr>
            </w:pPr>
          </w:p>
        </w:tc>
        <w:tc>
          <w:tcPr>
            <w:tcW w:w="279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6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116.45</w:t>
            </w:r>
          </w:p>
        </w:tc>
      </w:tr>
      <w:tr>
        <w:tblPrEx>
          <w:tblCellMar>
            <w:top w:w="0" w:type="dxa"/>
            <w:left w:w="108" w:type="dxa"/>
            <w:bottom w:w="0" w:type="dxa"/>
            <w:right w:w="108" w:type="dxa"/>
          </w:tblCellMar>
        </w:tblPrEx>
        <w:trPr>
          <w:trHeight w:val="424" w:hRule="atLeast"/>
          <w:jc w:val="center"/>
        </w:trPr>
        <w:tc>
          <w:tcPr>
            <w:tcW w:w="26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0"/>
                <w:szCs w:val="20"/>
                <w:highlight w:val="none"/>
              </w:rPr>
            </w:pPr>
          </w:p>
        </w:tc>
        <w:tc>
          <w:tcPr>
            <w:tcW w:w="2794"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6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522.36</w:t>
            </w:r>
          </w:p>
        </w:tc>
      </w:tr>
      <w:tr>
        <w:tblPrEx>
          <w:tblCellMar>
            <w:top w:w="0" w:type="dxa"/>
            <w:left w:w="108" w:type="dxa"/>
            <w:bottom w:w="0" w:type="dxa"/>
            <w:right w:w="108" w:type="dxa"/>
          </w:tblCellMar>
        </w:tblPrEx>
        <w:trPr>
          <w:trHeight w:val="424" w:hRule="atLeast"/>
          <w:jc w:val="center"/>
        </w:trPr>
        <w:tc>
          <w:tcPr>
            <w:tcW w:w="26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0"/>
                <w:szCs w:val="20"/>
                <w:highlight w:val="none"/>
              </w:rPr>
            </w:pPr>
          </w:p>
        </w:tc>
        <w:tc>
          <w:tcPr>
            <w:tcW w:w="2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6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79.50</w:t>
            </w:r>
          </w:p>
        </w:tc>
      </w:tr>
      <w:tr>
        <w:tblPrEx>
          <w:tblCellMar>
            <w:top w:w="0" w:type="dxa"/>
            <w:left w:w="108" w:type="dxa"/>
            <w:bottom w:w="0" w:type="dxa"/>
            <w:right w:w="108" w:type="dxa"/>
          </w:tblCellMar>
        </w:tblPrEx>
        <w:trPr>
          <w:trHeight w:val="477" w:hRule="atLeast"/>
          <w:jc w:val="center"/>
        </w:trPr>
        <w:tc>
          <w:tcPr>
            <w:tcW w:w="118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tblPrEx>
          <w:tblCellMar>
            <w:top w:w="0" w:type="dxa"/>
            <w:left w:w="108" w:type="dxa"/>
            <w:bottom w:w="0" w:type="dxa"/>
            <w:right w:w="108" w:type="dxa"/>
          </w:tblCellMar>
        </w:tblPrEx>
        <w:trPr>
          <w:trHeight w:val="424" w:hRule="atLeast"/>
          <w:jc w:val="center"/>
        </w:trPr>
        <w:tc>
          <w:tcPr>
            <w:tcW w:w="118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94"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开展招聘活动场次</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≧112场</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94"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选拔招募“三支一扶”人数</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≧15人</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94"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开发就业见习岗位</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≧150个</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托克逊县“就业服务”宣传账号发布及转发招聘信息条数</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≧100条</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有序疆外外出务工人次</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≧100人次</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94"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发放创业担保贷款笔数</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≥13笔</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w:t>
            </w: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794"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新增就业人数</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≧600人</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794"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高校毕业生就业率</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r>
        <w:tblPrEx>
          <w:tblCellMar>
            <w:top w:w="0" w:type="dxa"/>
            <w:left w:w="108" w:type="dxa"/>
            <w:bottom w:w="0" w:type="dxa"/>
            <w:right w:w="108" w:type="dxa"/>
          </w:tblCellMar>
        </w:tblPrEx>
        <w:trPr>
          <w:trHeight w:val="424" w:hRule="atLeast"/>
          <w:jc w:val="center"/>
        </w:trPr>
        <w:tc>
          <w:tcPr>
            <w:tcW w:w="118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服务对象满意度</w:t>
            </w:r>
          </w:p>
        </w:tc>
        <w:tc>
          <w:tcPr>
            <w:tcW w:w="14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高校毕业生就业创业服务活动满意度</w:t>
            </w:r>
          </w:p>
        </w:tc>
        <w:tc>
          <w:tcPr>
            <w:tcW w:w="14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22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2024单位年度计划</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r>
    </w:tbl>
    <w:p>
      <w:pPr>
        <w:rPr>
          <w:rFonts w:ascii="宋体" w:hAnsi="宋体"/>
          <w:color w:val="auto"/>
          <w:sz w:val="18"/>
          <w:szCs w:val="18"/>
          <w:highlight w:val="none"/>
        </w:rPr>
      </w:pPr>
    </w:p>
    <w:p>
      <w:pPr>
        <w:widowControl/>
        <w:jc w:val="left"/>
        <w:rPr>
          <w:rFonts w:ascii="宋体" w:hAnsi="宋体"/>
          <w:color w:val="auto"/>
          <w:sz w:val="18"/>
          <w:szCs w:val="18"/>
          <w:highlight w:val="none"/>
        </w:rPr>
      </w:pPr>
    </w:p>
    <w:p>
      <w:pPr>
        <w:widowControl/>
        <w:jc w:val="center"/>
        <w:rPr>
          <w:rFonts w:ascii="宋体" w:hAnsi="宋体"/>
          <w:color w:val="auto"/>
          <w:sz w:val="18"/>
          <w:szCs w:val="18"/>
          <w:highlight w:val="none"/>
        </w:rPr>
      </w:pPr>
      <w:r>
        <w:rPr>
          <w:rFonts w:ascii="宋体" w:hAnsi="宋体"/>
          <w:color w:val="auto"/>
          <w:sz w:val="18"/>
          <w:szCs w:val="18"/>
          <w:highlight w:val="none"/>
        </w:rPr>
        <w:br w:type="page"/>
      </w:r>
    </w:p>
    <w:tbl>
      <w:tblPr>
        <w:tblStyle w:val="5"/>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托克逊县公共就业服务中心</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2024年“三支一扶”工作经费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帕合热丁·艾尼</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18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目标1：通过为30名“三支一扶”人员购买意外保险，保障了“三支一扶”人员的人身安全，增强他们服务基层、热爱基层、扎根基层的信心和决心。</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目标2：通过按时组织15名新招募“三支一扶”人员接受岗前体检，保证了招募的“三支一扶”人员能胜任所报岗位等志愿服务工作，为基层工作顺利开展提供了保障。</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目标3：通过对30名“三支一扶”人员进行春节等节日的慰问，提高三支一扶人员的适岗率，促进高校毕业生稳定且高质量就业。</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购买意外保险人数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岗前体检人数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节日慰问人数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“三支一扶”人员适岗率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“三支一扶”人员体检合格率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"三支一扶"人员意外保险费支出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新招募“三支一扶”人员体检费支出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“三支一扶”人员节日慰问费支出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促进高校毕业生就业创业</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作用较显著</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7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发挥引导高校毕业生到基层就业创业示范引领作用</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作用显著</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jc w:val="center"/>
        <w:rPr>
          <w:rFonts w:ascii="宋体" w:hAnsi="宋体"/>
          <w:color w:val="auto"/>
          <w:sz w:val="18"/>
          <w:szCs w:val="18"/>
          <w:highlight w:val="none"/>
        </w:rPr>
      </w:pPr>
    </w:p>
    <w:p>
      <w:pPr>
        <w:widowControl/>
        <w:jc w:val="center"/>
        <w:rPr>
          <w:rFonts w:ascii="宋体" w:hAnsi="宋体"/>
          <w:color w:val="auto"/>
          <w:sz w:val="18"/>
          <w:szCs w:val="18"/>
          <w:highlight w:val="none"/>
        </w:rPr>
      </w:pPr>
      <w:r>
        <w:rPr>
          <w:rFonts w:ascii="宋体" w:hAnsi="宋体"/>
          <w:color w:val="auto"/>
          <w:sz w:val="18"/>
          <w:szCs w:val="18"/>
          <w:highlight w:val="none"/>
        </w:rPr>
        <w:br w:type="page"/>
      </w:r>
    </w:p>
    <w:tbl>
      <w:tblPr>
        <w:tblStyle w:val="5"/>
        <w:tblW w:w="9840" w:type="dxa"/>
        <w:jc w:val="center"/>
        <w:tblLayout w:type="autofit"/>
        <w:tblCellMar>
          <w:top w:w="0" w:type="dxa"/>
          <w:left w:w="108" w:type="dxa"/>
          <w:bottom w:w="0" w:type="dxa"/>
          <w:right w:w="108" w:type="dxa"/>
        </w:tblCellMar>
      </w:tblPr>
      <w:tblGrid>
        <w:gridCol w:w="1051"/>
        <w:gridCol w:w="901"/>
        <w:gridCol w:w="1858"/>
        <w:gridCol w:w="1050"/>
        <w:gridCol w:w="1127"/>
        <w:gridCol w:w="852"/>
        <w:gridCol w:w="856"/>
        <w:gridCol w:w="1065"/>
        <w:gridCol w:w="1080"/>
      </w:tblGrid>
      <w:tr>
        <w:tblPrEx>
          <w:tblCellMar>
            <w:top w:w="0" w:type="dxa"/>
            <w:left w:w="108" w:type="dxa"/>
            <w:bottom w:w="0" w:type="dxa"/>
            <w:right w:w="108" w:type="dxa"/>
          </w:tblCellMar>
        </w:tblPrEx>
        <w:trPr>
          <w:trHeight w:val="210" w:hRule="atLeast"/>
          <w:jc w:val="center"/>
        </w:trPr>
        <w:tc>
          <w:tcPr>
            <w:tcW w:w="984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179" w:hRule="atLeast"/>
          <w:jc w:val="center"/>
        </w:trPr>
        <w:tc>
          <w:tcPr>
            <w:tcW w:w="984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489"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88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托克逊县公共就业服务中心</w:t>
            </w:r>
          </w:p>
        </w:tc>
      </w:tr>
      <w:tr>
        <w:tblPrEx>
          <w:tblCellMar>
            <w:top w:w="0" w:type="dxa"/>
            <w:left w:w="108" w:type="dxa"/>
            <w:bottom w:w="0" w:type="dxa"/>
            <w:right w:w="108" w:type="dxa"/>
          </w:tblCellMar>
        </w:tblPrEx>
        <w:trPr>
          <w:trHeight w:val="505"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03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托克逊县中小微企业就业创业园综合业务经费</w:t>
            </w:r>
          </w:p>
        </w:tc>
        <w:tc>
          <w:tcPr>
            <w:tcW w:w="170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闫照江</w:t>
            </w:r>
          </w:p>
        </w:tc>
      </w:tr>
      <w:tr>
        <w:tblPrEx>
          <w:tblCellMar>
            <w:top w:w="0" w:type="dxa"/>
            <w:left w:w="108" w:type="dxa"/>
            <w:bottom w:w="0" w:type="dxa"/>
            <w:right w:w="108" w:type="dxa"/>
          </w:tblCellMar>
        </w:tblPrEx>
        <w:trPr>
          <w:trHeight w:val="314"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300.00</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300.00</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1780"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888"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园区通过为企业提供基础办公场地、厂房，提供食堂就餐服务，为10家企业及420余名务工人员提供优质服务管理工作，保障就业岗位1500余个，减轻园区务工人员的生活负担，让他们安心工作，提升工作质量并稳定就业，带动园区企业的稳定发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2、通过加强园区内厂房等基础设施维修及修缮，以及36个厂房线路维修，保障园区各项功能设施正常运转，有力保证园区日常各项工作及企业生产经营顺利开展。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3.通过委托1家污水处理公司代为运营园区内的污水处理设施设备，解决园区污水处理难题。</w:t>
            </w:r>
          </w:p>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4、园区始终将“安全生产”放在第一位，通过对园区内不少于32个监控点位安装及现有173个点位的监控设备、调度显示屏等进行维修，加强园区安全管理，降低安全隐患，确保园区及企业安全。</w:t>
            </w:r>
          </w:p>
        </w:tc>
      </w:tr>
      <w:tr>
        <w:tblPrEx>
          <w:tblCellMar>
            <w:top w:w="0" w:type="dxa"/>
            <w:left w:w="108" w:type="dxa"/>
            <w:bottom w:w="0" w:type="dxa"/>
            <w:right w:w="108" w:type="dxa"/>
          </w:tblCellMar>
        </w:tblPrEx>
        <w:trPr>
          <w:trHeight w:val="314" w:hRule="atLeast"/>
          <w:jc w:val="center"/>
        </w:trPr>
        <w:tc>
          <w:tcPr>
            <w:tcW w:w="10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通过</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314" w:hRule="atLeast"/>
          <w:jc w:val="center"/>
        </w:trPr>
        <w:tc>
          <w:tcPr>
            <w:tcW w:w="10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901"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食堂就餐管理人数</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≧420人</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园区管理企业数量</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≧10家</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10家</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园区厂房维修维护数量</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≧36个</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园区污水处理委托服务机构数量</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=1家</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新装及维修监控设备点位数</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≥205个</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食堂食材采购质量合格率</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园区设施设备维修验收合格率</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园区污水处理达标率</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858"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园区基础设施故障排查及时率</w:t>
            </w:r>
          </w:p>
        </w:tc>
        <w:tc>
          <w:tcPr>
            <w:tcW w:w="105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nil"/>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314" w:hRule="atLeast"/>
          <w:jc w:val="center"/>
        </w:trPr>
        <w:tc>
          <w:tcPr>
            <w:tcW w:w="10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858"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食堂食材采购费用</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≦140万元</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140万元</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创业园管理维护支出</w:t>
            </w:r>
          </w:p>
        </w:tc>
        <w:tc>
          <w:tcPr>
            <w:tcW w:w="1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≦62万元</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园区污水处理支出</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≦58万元</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新装及维修监控设备支出</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≦40万元</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314" w:hRule="atLeast"/>
          <w:jc w:val="center"/>
        </w:trPr>
        <w:tc>
          <w:tcPr>
            <w:tcW w:w="10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带动园区企业的稳定发展</w:t>
            </w:r>
          </w:p>
        </w:tc>
        <w:tc>
          <w:tcPr>
            <w:tcW w:w="1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有效带动</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解决就业岗位数量</w:t>
            </w:r>
          </w:p>
        </w:tc>
        <w:tc>
          <w:tcPr>
            <w:tcW w:w="1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≥1500个</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14" w:hRule="atLeast"/>
          <w:jc w:val="center"/>
        </w:trPr>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9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园区企业满意度</w:t>
            </w:r>
          </w:p>
        </w:tc>
        <w:tc>
          <w:tcPr>
            <w:tcW w:w="1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jc w:val="center"/>
        <w:rPr>
          <w:rFonts w:ascii="宋体" w:hAnsi="宋体"/>
          <w:color w:val="auto"/>
          <w:sz w:val="18"/>
          <w:szCs w:val="18"/>
          <w:highlight w:val="none"/>
        </w:rPr>
      </w:pPr>
    </w:p>
    <w:p>
      <w:pPr>
        <w:widowControl/>
        <w:jc w:val="center"/>
        <w:rPr>
          <w:rFonts w:ascii="宋体" w:hAnsi="宋体"/>
          <w:color w:val="auto"/>
          <w:sz w:val="18"/>
          <w:szCs w:val="18"/>
          <w:highlight w:val="none"/>
        </w:rPr>
      </w:pPr>
      <w:r>
        <w:rPr>
          <w:rFonts w:ascii="宋体" w:hAnsi="宋体"/>
          <w:color w:val="auto"/>
          <w:sz w:val="18"/>
          <w:szCs w:val="18"/>
          <w:highlight w:val="none"/>
        </w:rPr>
        <w:br w:type="page"/>
      </w:r>
    </w:p>
    <w:tbl>
      <w:tblPr>
        <w:tblStyle w:val="5"/>
        <w:tblpPr w:leftFromText="180" w:rightFromText="180" w:vertAnchor="text" w:horzAnchor="page" w:tblpX="938" w:tblpY="-29"/>
        <w:tblOverlap w:val="never"/>
        <w:tblW w:w="10200" w:type="dxa"/>
        <w:tblInd w:w="0" w:type="dxa"/>
        <w:tblLayout w:type="autofit"/>
        <w:tblCellMar>
          <w:top w:w="0" w:type="dxa"/>
          <w:left w:w="108" w:type="dxa"/>
          <w:bottom w:w="0" w:type="dxa"/>
          <w:right w:w="108" w:type="dxa"/>
        </w:tblCellMar>
      </w:tblPr>
      <w:tblGrid>
        <w:gridCol w:w="734"/>
        <w:gridCol w:w="1327"/>
        <w:gridCol w:w="1960"/>
        <w:gridCol w:w="1055"/>
        <w:gridCol w:w="1093"/>
        <w:gridCol w:w="1016"/>
        <w:gridCol w:w="913"/>
        <w:gridCol w:w="1071"/>
        <w:gridCol w:w="1031"/>
      </w:tblGrid>
      <w:tr>
        <w:tblPrEx>
          <w:tblCellMar>
            <w:top w:w="0" w:type="dxa"/>
            <w:left w:w="108" w:type="dxa"/>
            <w:bottom w:w="0" w:type="dxa"/>
            <w:right w:w="108" w:type="dxa"/>
          </w:tblCellMar>
        </w:tblPrEx>
        <w:trPr>
          <w:trHeight w:val="440" w:hRule="atLeast"/>
        </w:trPr>
        <w:tc>
          <w:tcPr>
            <w:tcW w:w="1020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420" w:hRule="atLeast"/>
        </w:trPr>
        <w:tc>
          <w:tcPr>
            <w:tcW w:w="102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440" w:hRule="atLeast"/>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3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托克逊县公共就业服务中心</w:t>
            </w:r>
          </w:p>
        </w:tc>
      </w:tr>
      <w:tr>
        <w:tblPrEx>
          <w:tblCellMar>
            <w:top w:w="0" w:type="dxa"/>
            <w:left w:w="108" w:type="dxa"/>
            <w:bottom w:w="0" w:type="dxa"/>
            <w:right w:w="108" w:type="dxa"/>
          </w:tblCellMar>
        </w:tblPrEx>
        <w:trPr>
          <w:trHeight w:val="440" w:hRule="atLeast"/>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08"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2024年创业担保贷款财政贴息资金</w:t>
            </w:r>
          </w:p>
        </w:tc>
        <w:tc>
          <w:tcPr>
            <w:tcW w:w="19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0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热娜古丽</w:t>
            </w:r>
          </w:p>
        </w:tc>
      </w:tr>
      <w:tr>
        <w:tblPrEx>
          <w:tblCellMar>
            <w:top w:w="0" w:type="dxa"/>
            <w:left w:w="108" w:type="dxa"/>
            <w:bottom w:w="0" w:type="dxa"/>
            <w:right w:w="108" w:type="dxa"/>
          </w:tblCellMar>
        </w:tblPrEx>
        <w:trPr>
          <w:trHeight w:val="660" w:hRule="atLeast"/>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0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1340" w:hRule="atLeast"/>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3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1.2024年托克逊县通过对创业人员的金融支持，发放个人创业担保贷款20人，激励广大创业人员自主创业的积极性，通过提升创业质量并稳定创业,推动解决特殊困难群体的结构性就业矛盾,实现促进就业带动创业。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2.预计2024年产生创业担保贷款利息2万元，其中个体工商户1.73万元，小微企业0.27万元，通过对符合相关政策的创业担保贷款财政补贴利息,减轻创业人员的负担。</w:t>
            </w:r>
          </w:p>
        </w:tc>
      </w:tr>
      <w:tr>
        <w:tblPrEx>
          <w:tblCellMar>
            <w:top w:w="0" w:type="dxa"/>
            <w:left w:w="108" w:type="dxa"/>
            <w:bottom w:w="0" w:type="dxa"/>
            <w:right w:w="108" w:type="dxa"/>
          </w:tblCellMar>
        </w:tblPrEx>
        <w:trPr>
          <w:trHeight w:val="520" w:hRule="atLeast"/>
        </w:trPr>
        <w:tc>
          <w:tcPr>
            <w:tcW w:w="7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520" w:hRule="atLeast"/>
        </w:trPr>
        <w:tc>
          <w:tcPr>
            <w:tcW w:w="7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27"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贷款扶持人数</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≧20.0人</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3.0人</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20" w:hRule="atLeast"/>
        </w:trPr>
        <w:tc>
          <w:tcPr>
            <w:tcW w:w="73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27"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贷款扶持小微企业数量</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≧1.0家</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0.0家</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300" w:hRule="atLeast"/>
        </w:trPr>
        <w:tc>
          <w:tcPr>
            <w:tcW w:w="73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27"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资金规范管理使用率</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trPr>
        <w:tc>
          <w:tcPr>
            <w:tcW w:w="73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27"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贷款贴息金额兑付准确率</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trPr>
        <w:tc>
          <w:tcPr>
            <w:tcW w:w="73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trPr>
        <w:tc>
          <w:tcPr>
            <w:tcW w:w="7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27"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小微企业创业担保贷款县级财政贴息额</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≦0.27万元</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0.0万元</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trPr>
        <w:tc>
          <w:tcPr>
            <w:tcW w:w="73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27"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个体工商户创业担保贷款县级财政贴息额</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≦1.73万元</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0.025088万元</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20" w:hRule="atLeast"/>
        </w:trPr>
        <w:tc>
          <w:tcPr>
            <w:tcW w:w="734"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27"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促进个体经济发展</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效果显著</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520" w:hRule="atLeast"/>
        </w:trPr>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3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9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创业者对担保贷款贴息政策的满意度</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92%</w:t>
            </w:r>
          </w:p>
        </w:tc>
        <w:tc>
          <w:tcPr>
            <w:tcW w:w="9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jc w:val="center"/>
        <w:rPr>
          <w:rFonts w:ascii="宋体" w:hAnsi="宋体"/>
          <w:color w:val="auto"/>
          <w:sz w:val="18"/>
          <w:szCs w:val="18"/>
          <w:highlight w:val="none"/>
        </w:rPr>
      </w:pPr>
    </w:p>
    <w:p>
      <w:pPr>
        <w:widowControl/>
        <w:jc w:val="center"/>
        <w:rPr>
          <w:rFonts w:ascii="楷体_GB2312" w:hAnsi="宋体" w:eastAsia="楷体_GB2312" w:cs="宋体"/>
          <w:b/>
          <w:color w:val="auto"/>
          <w:kern w:val="0"/>
          <w:sz w:val="32"/>
          <w:szCs w:val="32"/>
          <w:highlight w:val="none"/>
        </w:rPr>
      </w:pPr>
      <w:r>
        <w:rPr>
          <w:rFonts w:ascii="宋体" w:hAnsi="宋体"/>
          <w:color w:val="auto"/>
          <w:sz w:val="18"/>
          <w:szCs w:val="18"/>
          <w:highlight w:val="none"/>
        </w:rPr>
        <w:br w:type="page"/>
      </w:r>
    </w:p>
    <w:tbl>
      <w:tblPr>
        <w:tblStyle w:val="5"/>
        <w:tblW w:w="10505" w:type="dxa"/>
        <w:jc w:val="center"/>
        <w:tblLayout w:type="autofit"/>
        <w:tblCellMar>
          <w:top w:w="0" w:type="dxa"/>
          <w:left w:w="108" w:type="dxa"/>
          <w:bottom w:w="0" w:type="dxa"/>
          <w:right w:w="108" w:type="dxa"/>
        </w:tblCellMar>
      </w:tblPr>
      <w:tblGrid>
        <w:gridCol w:w="778"/>
        <w:gridCol w:w="872"/>
        <w:gridCol w:w="2615"/>
        <w:gridCol w:w="1423"/>
        <w:gridCol w:w="1073"/>
        <w:gridCol w:w="1164"/>
        <w:gridCol w:w="948"/>
        <w:gridCol w:w="711"/>
        <w:gridCol w:w="225"/>
        <w:gridCol w:w="696"/>
      </w:tblGrid>
      <w:tr>
        <w:tblPrEx>
          <w:tblCellMar>
            <w:top w:w="0" w:type="dxa"/>
            <w:left w:w="108" w:type="dxa"/>
            <w:bottom w:w="0" w:type="dxa"/>
            <w:right w:w="108" w:type="dxa"/>
          </w:tblCellMar>
        </w:tblPrEx>
        <w:trPr>
          <w:trHeight w:val="435" w:hRule="atLeast"/>
          <w:jc w:val="center"/>
        </w:trPr>
        <w:tc>
          <w:tcPr>
            <w:tcW w:w="10505" w:type="dxa"/>
            <w:gridSpan w:val="10"/>
            <w:tcBorders>
              <w:top w:val="nil"/>
              <w:left w:val="nil"/>
              <w:bottom w:val="nil"/>
              <w:right w:val="nil"/>
            </w:tcBorders>
            <w:shd w:val="clear" w:color="auto" w:fill="auto"/>
            <w:vAlign w:val="center"/>
          </w:tcPr>
          <w:p>
            <w:pPr>
              <w:widowControl/>
              <w:jc w:val="center"/>
              <w:rPr>
                <w:rFonts w:ascii="宋体" w:hAnsi="宋体" w:cs="宋体"/>
                <w:b/>
                <w:bCs/>
                <w:color w:val="auto"/>
                <w:kern w:val="0"/>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10" w:hRule="atLeast"/>
          <w:jc w:val="center"/>
        </w:trPr>
        <w:tc>
          <w:tcPr>
            <w:tcW w:w="10505" w:type="dxa"/>
            <w:gridSpan w:val="10"/>
            <w:tcBorders>
              <w:top w:val="nil"/>
              <w:left w:val="nil"/>
              <w:bottom w:val="nil"/>
              <w:right w:val="nil"/>
            </w:tcBorders>
            <w:shd w:val="clear" w:color="auto" w:fill="auto"/>
            <w:vAlign w:val="center"/>
          </w:tcPr>
          <w:p>
            <w:pPr>
              <w:widowControl/>
              <w:jc w:val="center"/>
              <w:rPr>
                <w:rFonts w:ascii="宋体" w:hAnsi="宋体" w:cs="宋体"/>
                <w:color w:val="auto"/>
                <w:kern w:val="0"/>
                <w:sz w:val="24"/>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310"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85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托克逊县公共就业服务中心</w:t>
            </w:r>
          </w:p>
        </w:tc>
      </w:tr>
      <w:tr>
        <w:tblPrEx>
          <w:tblCellMar>
            <w:top w:w="0" w:type="dxa"/>
            <w:left w:w="108" w:type="dxa"/>
            <w:bottom w:w="0" w:type="dxa"/>
            <w:right w:w="108" w:type="dxa"/>
          </w:tblCellMar>
        </w:tblPrEx>
        <w:trPr>
          <w:trHeight w:val="310"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22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57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张利静</w:t>
            </w:r>
          </w:p>
        </w:tc>
      </w:tr>
      <w:tr>
        <w:tblPrEx>
          <w:tblCellMar>
            <w:top w:w="0" w:type="dxa"/>
            <w:left w:w="108" w:type="dxa"/>
            <w:bottom w:w="0" w:type="dxa"/>
            <w:right w:w="108" w:type="dxa"/>
          </w:tblCellMar>
        </w:tblPrEx>
        <w:trPr>
          <w:trHeight w:val="310"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61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79.50</w:t>
            </w:r>
          </w:p>
        </w:tc>
        <w:tc>
          <w:tcPr>
            <w:tcW w:w="10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1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16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919"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79.50</w:t>
            </w:r>
          </w:p>
        </w:tc>
      </w:tr>
      <w:tr>
        <w:tblPrEx>
          <w:tblCellMar>
            <w:top w:w="0" w:type="dxa"/>
            <w:left w:w="108" w:type="dxa"/>
            <w:bottom w:w="0" w:type="dxa"/>
            <w:right w:w="108" w:type="dxa"/>
          </w:tblCellMar>
        </w:tblPrEx>
        <w:trPr>
          <w:trHeight w:val="1035"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854" w:type="dxa"/>
            <w:gridSpan w:val="8"/>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目标1：组织开展2024年三支一扶招募工作，计划招募15人，解决我县高校毕业生就业难的问题，同时为基层乡村、社区注入新鲜血液，解决基层单位人员不足的问题。</w:t>
            </w:r>
          </w:p>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目标2：灵活运用网络信息平台，微信公众号发布及转发招聘信息不少于100条，从而扩大就业政策宣传力度。</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目标3：组织开展24项公共就业服务活动，全年开展招聘活动（线上+线下）不少于112场。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目标4：每月对我县富余劳动摸排一次，计划2024年有序疆外外出务工达到100人次。</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目标5：做好流动人口档案管理服务标准化促就业，帮助高校毕业生和流动人员解决后顾之忧，安心就业，高校毕业生就业率达到90%以上。</w:t>
            </w:r>
          </w:p>
        </w:tc>
      </w:tr>
      <w:tr>
        <w:tblPrEx>
          <w:tblCellMar>
            <w:top w:w="0" w:type="dxa"/>
            <w:left w:w="108" w:type="dxa"/>
            <w:bottom w:w="0" w:type="dxa"/>
            <w:right w:w="108" w:type="dxa"/>
          </w:tblCellMar>
        </w:tblPrEx>
        <w:trPr>
          <w:trHeight w:val="538" w:hRule="atLeast"/>
          <w:jc w:val="center"/>
        </w:trPr>
        <w:tc>
          <w:tcPr>
            <w:tcW w:w="77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13" w:hRule="atLeast"/>
          <w:jc w:val="center"/>
        </w:trPr>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开展招聘活动场次</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&gt;=112场</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有序疆外外出务工人次</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&gt;=100人次</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托克逊县“就业服务”宣传账号及转发招聘信息条数</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&gt;=100条</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选拔招募“三支一扶”人数</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&gt;=15人</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招聘计划达成率</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“三支一扶”人员到岗率</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招聘会开展及时率</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富余劳动力有序转移就业经费</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&lt;=51.60万元</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开展各项公共就业服务活动经费</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&lt;=27.90万元</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13" w:hRule="atLeast"/>
          <w:jc w:val="center"/>
        </w:trPr>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新增就业人数</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&gt;=600人</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87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2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高校毕业生就业率</w:t>
            </w:r>
          </w:p>
        </w:tc>
        <w:tc>
          <w:tcPr>
            <w:tcW w:w="1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&gt;=90%</w:t>
            </w:r>
          </w:p>
        </w:tc>
        <w:tc>
          <w:tcPr>
            <w:tcW w:w="10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widowControl/>
        <w:spacing w:line="560" w:lineRule="exact"/>
        <w:ind w:firstLine="630" w:firstLineChars="196"/>
        <w:jc w:val="left"/>
        <w:rPr>
          <w:rFonts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pPr>
        <w:widowControl/>
        <w:spacing w:line="520" w:lineRule="exact"/>
        <w:ind w:firstLine="640" w:firstLineChars="200"/>
        <w:jc w:val="left"/>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w:t>
      </w:r>
      <w:bookmarkStart w:id="0" w:name="_Hlk169204404"/>
      <w:r>
        <w:rPr>
          <w:rFonts w:hint="eastAsia" w:ascii="仿宋_GB2312" w:hAnsi="黑体" w:eastAsia="仿宋_GB2312" w:cs="Times New Roman"/>
          <w:color w:val="auto"/>
          <w:sz w:val="32"/>
          <w:szCs w:val="32"/>
          <w:highlight w:val="none"/>
          <w14:ligatures w14:val="none"/>
        </w:rPr>
        <w:t>本次未公开项目支出绩效目标表共有</w:t>
      </w:r>
      <w:r>
        <w:rPr>
          <w:rFonts w:hint="eastAsia" w:ascii="仿宋_GB2312" w:hAnsi="黑体" w:eastAsia="仿宋_GB2312" w:cs="Times New Roman"/>
          <w:color w:val="auto"/>
          <w:sz w:val="32"/>
          <w:szCs w:val="32"/>
          <w:highlight w:val="none"/>
          <w:lang w:val="en-US" w:eastAsia="zh-CN"/>
          <w14:ligatures w14:val="none"/>
        </w:rPr>
        <w:t>2</w:t>
      </w:r>
      <w:r>
        <w:rPr>
          <w:rFonts w:hint="eastAsia" w:ascii="仿宋_GB2312" w:hAnsi="黑体" w:eastAsia="仿宋_GB2312" w:cs="Times New Roman"/>
          <w:color w:val="auto"/>
          <w:sz w:val="32"/>
          <w:szCs w:val="32"/>
          <w:highlight w:val="none"/>
          <w14:ligatures w14:val="none"/>
        </w:rPr>
        <w:t>个，其中：上级转移支付项目</w:t>
      </w:r>
      <w:r>
        <w:rPr>
          <w:rFonts w:hint="eastAsia" w:ascii="仿宋_GB2312" w:hAnsi="黑体" w:eastAsia="仿宋_GB2312" w:cs="Times New Roman"/>
          <w:color w:val="auto"/>
          <w:sz w:val="32"/>
          <w:szCs w:val="32"/>
          <w:highlight w:val="none"/>
          <w:lang w:val="en-US" w:eastAsia="zh-CN"/>
          <w14:ligatures w14:val="none"/>
        </w:rPr>
        <w:t>2</w:t>
      </w:r>
      <w:r>
        <w:rPr>
          <w:rFonts w:hint="eastAsia" w:ascii="仿宋_GB2312" w:hAnsi="黑体" w:eastAsia="仿宋_GB2312" w:cs="Times New Roman"/>
          <w:color w:val="auto"/>
          <w:sz w:val="32"/>
          <w:szCs w:val="32"/>
          <w:highlight w:val="none"/>
          <w14:ligatures w14:val="none"/>
        </w:rPr>
        <w:t>个，涉及预算金额</w:t>
      </w:r>
      <w:r>
        <w:rPr>
          <w:rFonts w:hint="eastAsia" w:ascii="仿宋_GB2312" w:hAnsi="黑体" w:eastAsia="仿宋_GB2312" w:cs="Times New Roman"/>
          <w:color w:val="auto"/>
          <w:sz w:val="32"/>
          <w:szCs w:val="32"/>
          <w:highlight w:val="none"/>
          <w:lang w:val="en-US" w:eastAsia="zh-CN"/>
          <w14:ligatures w14:val="none"/>
        </w:rPr>
        <w:t>92.00</w:t>
      </w:r>
      <w:r>
        <w:rPr>
          <w:rFonts w:hint="eastAsia" w:ascii="仿宋_GB2312" w:hAnsi="黑体" w:eastAsia="仿宋_GB2312" w:cs="Times New Roman"/>
          <w:color w:val="auto"/>
          <w:sz w:val="32"/>
          <w:szCs w:val="32"/>
          <w:highlight w:val="none"/>
          <w14:ligatures w14:val="none"/>
        </w:rPr>
        <w:t>万元、绩效目标表完全不予公开。</w:t>
      </w:r>
      <w:bookmarkEnd w:id="0"/>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righ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托克逊县公共就业服务中心</w:t>
      </w:r>
    </w:p>
    <w:p>
      <w:pPr>
        <w:widowControl/>
        <w:spacing w:line="520" w:lineRule="exact"/>
        <w:jc w:val="right"/>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pPr>
        <w:rPr>
          <w:color w:val="auto"/>
          <w:highlight w:val="none"/>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14507"/>
    <w:rsid w:val="000731E4"/>
    <w:rsid w:val="000E4E9C"/>
    <w:rsid w:val="001441B7"/>
    <w:rsid w:val="0020314D"/>
    <w:rsid w:val="002C6E1A"/>
    <w:rsid w:val="0044610C"/>
    <w:rsid w:val="00557BA0"/>
    <w:rsid w:val="00571536"/>
    <w:rsid w:val="0058691E"/>
    <w:rsid w:val="00590074"/>
    <w:rsid w:val="00610141"/>
    <w:rsid w:val="006545CA"/>
    <w:rsid w:val="00934F16"/>
    <w:rsid w:val="00A836C6"/>
    <w:rsid w:val="00A93A64"/>
    <w:rsid w:val="00B8080C"/>
    <w:rsid w:val="00C957CF"/>
    <w:rsid w:val="00CF434E"/>
    <w:rsid w:val="00D736C1"/>
    <w:rsid w:val="00ED52A3"/>
    <w:rsid w:val="00FB0684"/>
    <w:rsid w:val="0BF25B93"/>
    <w:rsid w:val="15B52929"/>
    <w:rsid w:val="258E25D7"/>
    <w:rsid w:val="29EE67B9"/>
    <w:rsid w:val="3DDA577C"/>
    <w:rsid w:val="3DDC7F8B"/>
    <w:rsid w:val="49700F37"/>
    <w:rsid w:val="51EA7A3A"/>
    <w:rsid w:val="7AA93E2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99"/>
    <w:pPr>
      <w:tabs>
        <w:tab w:val="center" w:pos="4153"/>
        <w:tab w:val="right" w:pos="8306"/>
      </w:tabs>
      <w:snapToGrid w:val="0"/>
      <w:jc w:val="center"/>
    </w:pPr>
    <w:rPr>
      <w:sz w:val="18"/>
      <w:szCs w:val="18"/>
    </w:rPr>
  </w:style>
  <w:style w:type="character" w:customStyle="1" w:styleId="7">
    <w:name w:val="页眉 字符"/>
    <w:link w:val="4"/>
    <w:qFormat/>
    <w:uiPriority w:val="99"/>
    <w:rPr>
      <w:kern w:val="2"/>
      <w:sz w:val="18"/>
      <w:szCs w:val="18"/>
    </w:rPr>
  </w:style>
  <w:style w:type="character" w:customStyle="1" w:styleId="8">
    <w:name w:val="页脚 字符"/>
    <w:link w:val="3"/>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1767</Words>
  <Characters>1949</Characters>
  <Lines>156</Lines>
  <Paragraphs>43</Paragraphs>
  <TotalTime>9</TotalTime>
  <ScaleCrop>false</ScaleCrop>
  <LinksUpToDate>false</LinksUpToDate>
  <CharactersWithSpaces>2015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19BB84DEB32241C695683C96122C18E9_13</vt:lpwstr>
  </property>
  <property fmtid="{D5CDD505-2E9C-101B-9397-08002B2CF9AE}" pid="4" name="KSOTemplateDocerSaveRecord">
    <vt:lpwstr>eyJoZGlkIjoiMTcwMGY5N2M4YzI3ODdkZTMzOGFhZTcwMTk4MTdlMjAiLCJ1c2VySWQiOiI0OTQ1NzM3OTEifQ==</vt:lpwstr>
  </property>
</Properties>
</file>